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绥滨县20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年农技推广服务特聘人员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全县广大农民朋友：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黑龙江省农业委员会《关于全面实施农技推广服务特聘计划的通知》（黑农委函〔2018〕502号）和黑龙江省农业农村厅《关于印发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年黑龙江省基层农技推广体系改革与建设补助项目实施方案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的通知》（黑农厅函〔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754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号）文件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要求，为进一步实现巩固拓展脱贫攻坚成果同乡村振兴有效衔接，打造先进适用技术示范样板，提升农技推广服务效能，推动农业科技社会化服务发展，加快信息化服务手段普及应用，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进一步增强基层农技推广服务供给能力，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着重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绥滨县区域内农技推广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工作中科技支撑和人才保障不足等问题。经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绥滨县农业农村局研究决定，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在种植产业方面围绕全县农业主推技术，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面向绥滨县公开招聘特聘农技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特此公告。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widowControl/>
        <w:wordWrap w:val="0"/>
        <w:spacing w:line="560" w:lineRule="exact"/>
        <w:ind w:firstLine="4640" w:firstLineChars="14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绥滨县农业农村局</w:t>
      </w:r>
    </w:p>
    <w:p>
      <w:pPr>
        <w:widowControl/>
        <w:wordWrap w:val="0"/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绥滨县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年农技推广服务特聘人员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招聘公告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按照黑龙江省农业委员会《关于全面实施农技推广服务特聘计划的通知》（黑农委函〔2018〕502号）和黑龙江省农业农村厅《关于印发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年黑龙江省基层农技推广体系改革与建设补助项目实施方案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的通知》（黑农厅函〔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754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号）文件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结合我县实际情况，经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绥滨县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农业农村局研究决定在我县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招聘农技推广服务特聘人员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名，现就有关事项公告如下：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  <w:t>一、招聘原则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坚持“公开招聘、自愿申报、专家评审、严格考核、择优聘任”原则，面向全县进行招聘，全过程公开接受社会各界及有关部门的监督。特聘农技员必须在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农业技术推广中心领导下，围绕我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种植业和特色产业发展开展农技推广服务。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招聘岗位及数量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岗位设置：水稻技术指导员、玉米技术指导员、大豆技术指导员。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数量：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名,其中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水稻技术指导员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、玉米技术指导员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、大豆技术指导员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招聘对象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特聘农技员主要从以下三类群体中招募：一是农业乡土专家；二是农业种植能手；三是新型农业经营主体技术骨干，尤其是鼓励建档立卡脱贫村的乡土专家、种植能手、技术骨干报名。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招聘条件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绥滨县农村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户籍，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年龄在18-60周岁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拥护党的路线、方针和政策，遵纪守法。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健康，仪表端庄，口齿清晰，具有良好的语言表达和沟通能力。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有较高的技术专长和科技素质；有丰富的农业生产实践经验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有一定的群众基础和影响力；熟悉热爱农业农村工作，乐于助人，责任心、服务意识和协调能力较强。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3.具有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农民技术员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以上职称、参加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职业农民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农业相关知识培训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获得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证书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者优先考虑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.具有农学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、植保、土肥、经济作物等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专业中专以上学历的，熟练掌握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智能手机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文字编辑、APP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应用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等能力者优先考虑。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以下人员不得报名：①曾因犯罪受过刑事处罚的人员；②其他法律规定不符合聘用的人员；③农业系统体制内在岗人员。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27" w:firstLineChars="196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五、招聘程序</w:t>
      </w:r>
    </w:p>
    <w:p>
      <w:pPr>
        <w:widowControl/>
        <w:wordWrap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本次招聘工作，按照发布公告、个人申请、技能考核、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公示、人选确定、服务协议（或服务合同）签订等程序进行。</w:t>
      </w:r>
    </w:p>
    <w:p>
      <w:pPr>
        <w:widowControl/>
        <w:wordWrap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kern w:val="0"/>
          <w:sz w:val="32"/>
          <w:szCs w:val="32"/>
        </w:rPr>
        <w:t>（一）发布公告：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在绥滨县人民政府网站发布招聘公告。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b/>
          <w:color w:val="333333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sz w:val="32"/>
          <w:szCs w:val="32"/>
        </w:rPr>
        <w:t>（二）个人申请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2560" w:firstLineChars="8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8:30-11:00  下午1:30-4:30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报名地点：县农业技术推广中心一楼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联系人：刘有生  联系电话：7862315-816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携带证件：须携带本人身份证、户口本、学历证书及其他相关证件原件现场审核，交复印件2份，近期免冠1寸照片2张，并填写《绥滨县农技推广服务特聘计划报名登记表》，现场接受资格审查。凡提供虚假报考申请材料的，一经查实，取消报名资格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333333"/>
          <w:kern w:val="0"/>
          <w:sz w:val="32"/>
          <w:szCs w:val="32"/>
        </w:rPr>
        <w:t>（三）技能考核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核分笔试和面试。笔试主要考察应聘岗位所需的职业素质、专业知识、业务能力和工作技能。面试由县农业农村局组织考核组进行评审，主要考察思想政治表现、道德素质、心理健康、业务能力等方面，并对资格条件进行复查，最后根据综合成绩择优录取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  <w:lang w:eastAsia="zh-CN"/>
        </w:rPr>
        <w:t>遴选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</w:rPr>
        <w:t>公示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考核结束后，对拟聘人员名单在绥滨县农业技术推广中心公示，公示期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个工作日。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33333"/>
          <w:kern w:val="0"/>
          <w:sz w:val="32"/>
          <w:szCs w:val="32"/>
        </w:rPr>
        <w:t>（五）确定人选和签订服务协议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公示期满无异议后，根据信息反馈情况确定最终人选，签订特聘协议（或合同）。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 w:bidi="ar-SA"/>
        </w:rPr>
        <w:t>六、主要职责与任务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(一)为县域农业特色优势产业发展提供技术指导与咨询服务，指导致富带头人和种地大户科学发展农业生产，为本地产业发展提供技术指导与咨询服务。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(二)为脱贫户从事农业生产经营提供技术帮扶，对贫困农户进行技术指导，示范先进适用技术，为周边农户提供技术指导。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(三)与基层农技人员结对开展农技服务，配合农业技术人员开展技术咨询、指导服务。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七、管理与考核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对特聘农技员实行合同制管理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县农技推广中心制定《特聘农技员考核管理办法》，进行规范服务管理。服务期间，以服务实效和服务对象满意度为核心内容，定期对特聘农技员服务效果进行绩效考核。建立以结果为导向的激励约束机制，考核不合格的及时解除服务协议；对考核优秀的特聘农技员，服务期满后可优先继续招募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27" w:firstLineChars="196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八、待遇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特聘农技岗位补助从2022年农技推广体系改革与建设补助项目中列支。特聘农技员具体补助标准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根据平时工作完成情况和日常管理规定考核情况，对其进行服务补助。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27" w:firstLineChars="196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九、其他有关事宜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本次招聘由县农业技术推广中心负责组织实施。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2.报名时，应聘人员如提供虚假材料和信息，在资格复审、公示、办理应聘手续时一经查实，取消资格。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3.咨询电话：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绥滨县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农业技术推广中心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2560" w:firstLineChars="800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刘有生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7862315-8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16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附件：绥滨县农技推广服务特聘计划报名表</w:t>
      </w:r>
    </w:p>
    <w:p>
      <w:pPr>
        <w:spacing w:line="560" w:lineRule="exact"/>
        <w:ind w:firstLine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绥滨县农技推广服务特聘计划报名表</w:t>
      </w:r>
    </w:p>
    <w:p>
      <w:pPr>
        <w:pStyle w:val="3"/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</w:p>
    <w:tbl>
      <w:tblPr>
        <w:tblStyle w:val="8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98"/>
        <w:gridCol w:w="1213"/>
        <w:gridCol w:w="1213"/>
        <w:gridCol w:w="648"/>
        <w:gridCol w:w="566"/>
        <w:gridCol w:w="121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    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民族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所学专业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职称、执（职）业资格</w:t>
            </w:r>
          </w:p>
        </w:tc>
        <w:tc>
          <w:tcPr>
            <w:tcW w:w="2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取得时间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户籍所在地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婚姻状况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档案保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管单位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身份证号</w:t>
            </w: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有何特长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通讯地址</w:t>
            </w:r>
          </w:p>
        </w:tc>
        <w:tc>
          <w:tcPr>
            <w:tcW w:w="4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邮政编码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E-mail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简历</w:t>
            </w:r>
          </w:p>
        </w:tc>
        <w:tc>
          <w:tcPr>
            <w:tcW w:w="7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与应聘岗位相关的实践经历或取得的成绩</w:t>
            </w:r>
          </w:p>
        </w:tc>
        <w:tc>
          <w:tcPr>
            <w:tcW w:w="7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应聘人员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承诺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本人承诺所提供的材料真实有效，符合应聘岗位所需的资格条件。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如有弄虚作假，承诺自动放弃考试和聘用资格。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应聘人签名：</w:t>
            </w:r>
          </w:p>
          <w:p>
            <w:pPr>
              <w:ind w:firstLine="1200" w:firstLineChars="500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  月  日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资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格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查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见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经审查，符合应聘资格条件。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审查人签名：</w:t>
            </w:r>
          </w:p>
          <w:p>
            <w:p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审查单位（章）</w:t>
            </w:r>
          </w:p>
          <w:p>
            <w:pPr>
              <w:ind w:firstLine="720" w:firstLineChars="300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备注</w:t>
            </w:r>
          </w:p>
        </w:tc>
        <w:tc>
          <w:tcPr>
            <w:tcW w:w="76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autoSpaceDE w:val="0"/>
        <w:spacing w:line="240" w:lineRule="auto"/>
        <w:ind w:firstLine="240" w:firstLineChars="100"/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绥滨县农业农村局办公室                        2022年6月2日印发</w:t>
      </w:r>
    </w:p>
    <w:sectPr>
      <w:footerReference r:id="rId3" w:type="default"/>
      <w:pgSz w:w="11906" w:h="16838"/>
      <w:pgMar w:top="144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ZjI3MDZmMTZjZDc4ZmJhOGI4ZTMwMDkwM2Q0ZDMifQ=="/>
  </w:docVars>
  <w:rsids>
    <w:rsidRoot w:val="00000000"/>
    <w:rsid w:val="06A014CE"/>
    <w:rsid w:val="073A54FC"/>
    <w:rsid w:val="0F861D58"/>
    <w:rsid w:val="10C67199"/>
    <w:rsid w:val="12C77384"/>
    <w:rsid w:val="165B14C8"/>
    <w:rsid w:val="168F2B46"/>
    <w:rsid w:val="18894104"/>
    <w:rsid w:val="1B3260EA"/>
    <w:rsid w:val="1CB01508"/>
    <w:rsid w:val="1EF977CA"/>
    <w:rsid w:val="1F810A17"/>
    <w:rsid w:val="205D490E"/>
    <w:rsid w:val="22DB2F29"/>
    <w:rsid w:val="2D656E89"/>
    <w:rsid w:val="2E024B63"/>
    <w:rsid w:val="320E5B31"/>
    <w:rsid w:val="3F425A5C"/>
    <w:rsid w:val="41533DED"/>
    <w:rsid w:val="45CD5059"/>
    <w:rsid w:val="4C6C5651"/>
    <w:rsid w:val="51175BA1"/>
    <w:rsid w:val="539C3043"/>
    <w:rsid w:val="56A54246"/>
    <w:rsid w:val="58975A39"/>
    <w:rsid w:val="63F87D80"/>
    <w:rsid w:val="6614629C"/>
    <w:rsid w:val="6A265BDF"/>
    <w:rsid w:val="71390D7A"/>
    <w:rsid w:val="71D11BCD"/>
    <w:rsid w:val="7967737E"/>
    <w:rsid w:val="7BBA7834"/>
    <w:rsid w:val="7D7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Times New Roman"/>
      <w:szCs w:val="20"/>
    </w:rPr>
  </w:style>
  <w:style w:type="paragraph" w:styleId="4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2305</Words>
  <Characters>2413</Characters>
  <Lines>0</Lines>
  <Paragraphs>0</Paragraphs>
  <TotalTime>13</TotalTime>
  <ScaleCrop>false</ScaleCrop>
  <LinksUpToDate>false</LinksUpToDate>
  <CharactersWithSpaces>2460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2021-06-25T02:39:00Z</dcterms:created>
  <dc:creator>Administrator</dc:creator>
  <cp:lastModifiedBy>绿竹</cp:lastModifiedBy>
  <cp:lastPrinted>2021-06-28T06:32:00Z</cp:lastPrinted>
  <dcterms:modified xsi:type="dcterms:W3CDTF">2022-06-02T00:48:42Z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18879205A9D946019EF48CE7DAE147A9</vt:lpwstr>
  </property>
</Properties>
</file>