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/>
        <w:rPr>
          <w:rFonts w:ascii="Calibri" w:hAnsi="Calibri" w:cs="Calibri"/>
          <w:b w:val="0"/>
          <w:i w:val="0"/>
          <w:color w:val="00000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招聘计划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tbl>
      <w:tblPr>
        <w:tblW w:w="864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8"/>
        <w:gridCol w:w="1644"/>
        <w:gridCol w:w="684"/>
        <w:gridCol w:w="516"/>
        <w:gridCol w:w="1188"/>
        <w:gridCol w:w="1344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科室名称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名称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招聘条件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各教学部门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医学、药学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bookmarkStart w:id="0" w:name="OLE_LINK1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基础医学院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数学教研室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基础数学、应用数学、生物数学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解剖学教研室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人体解剖与组织胚胎学、临床医学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机能实验教学中心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临床医学、药理学、生理学、病理学与病理生理学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医学技术学院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免疫学教研室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基础医学、临床医学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药学院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药物化学教研室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药物化学、制药工程、化学工程与技术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公共卫生学院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预防医学教研室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公共卫生与预防医学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0" w:type="dxa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精神卫生学院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转化医学神经科学研究室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生理学、生物学、基础医学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同等条件下，具备执业医师资格证者优先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生物精神病学研究室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临床医学、基础医学、影像医学与核医学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同等条件下，具备执业医师资格证者优先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病理学院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基础病理教研室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2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病理学与病理生理学、口腔医学、肿瘤学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医药科学研究院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蛋白质结构与功能研究室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生物化学与分子生物学、细胞生物学、免疫学、生物工程、医学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科研处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黄芪研究院种质资源研究室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生药学、植物学、遗传学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基础医学院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解剖学教研室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基础医学、临床医学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机能实验教学中心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临床医学、药理学、生理学、病理学与病理生理学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医学技术学院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影像设备与技术学教研室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影像医学与核医学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公共卫生学院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社会医学与卫生事业管理教研室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社会医学与卫生事业管理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病理学院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办公室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8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临床医学、基础医学、中国语言文学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社会科学部（马克思主义学院）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毛泽东思想和中国特色社会主义理论体系概论教研室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马克思主义哲学、理论经济学、政治学、马克思主义理论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中国近现代史纲要教研室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马克思主义哲学、政治学、马克思主义理论、中国史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体育教研部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球类教研室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体育教学、运动训练、体育教育训练学（游泳专项）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要求具备中级游泳救生员、中级游泳社会体育指导员资质或国家游泳二级运动员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研究生处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研究生管理办公室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基础医学、临床医学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37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合  计（单位：人）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临床各科室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医学及相关专业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口腔科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口腔医学（口腔颌面外科学、口腔内科学、口腔修复科学方向）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专业硕士，具有执业医师资格证书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骨外科A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外科学（骨外科学方向）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专业硕士，具有执业医师资格证书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骨外科B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儿科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肿瘤、风湿免疫内科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血液内科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神经内科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呼吸内科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消化内科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感染疾病科A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急诊科A（内科）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全科医学科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皮肤科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老年病科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肾内科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血液透析科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重症医学科A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精神科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精神医学、临床医学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高压氧科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眼科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耳鼻咽喉科A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普外科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肛肠外科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急诊科B（外科）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胸外科A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体检科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医学影像学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齐齐哈尔医学院附属第一医院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电诊科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医学影像学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同等条件下，具有执业医师资格证书及住院医师规范化培训合格证书者优先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37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合计（单位：人）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临床各科室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医学及相关专业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心内六科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临床医学、内科学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全科医学科A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临床医学、内科学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普外科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临床医学、外科学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神经外科A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临床医学、外科学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骨外一科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临床医学、外科学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骨外四科A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临床医学、外科学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泌尿一科A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临床医学、外科学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妇产科A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临床医学、妇产科学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儿科A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临床医学、儿科学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麻醉科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临床医学、麻醉学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齐齐哈尔医学院附属第二医院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检验科A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临床医学、临床检验诊断学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37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合计（单位：人）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临床各科室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各岗位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医学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护理部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要求本科所学专业为护理学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神经内科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内科学（神经内科方向）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同等条件下，具有执业医师资格、住院医师规范化培训合格优先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消化内科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内科学（消化方向）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呼吸内科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内科学（呼吸内科方向）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心血管内科A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内科学（心血管方向）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具有执业医师资格、住院医师规范化培训合格；同等条件下，具有介入手术工作经验者优先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心血管内科B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内科学（心血管方向）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超声科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影像医学与核医学（超声方向）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肿瘤内科B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中西医结合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神经外科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外科学（神经外科方向）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胸心外科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外科学（胸心外方向）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妇科A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妇产科学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妇科B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妇产科学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输血科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临床检验诊断学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介入科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临床医学、影像医学与核医学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中心实验室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实验岗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基础医学、药学、临床检验诊断学等相关专业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同等条件下，学术型硕士或有实验室工作经验者优先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康复科A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康复医学与理疗学、神经病学等相关专业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康复科B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针灸推拿学及相关专业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康复科C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康复医学与理疗学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从事治疗师工作，要求本科毕业专业为康复治疗学专业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麻醉科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麻醉学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重症医学科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重症医学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检验中心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临床检验诊断学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社区卫生服务中心A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影像医学与核医学（超声方向）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社区卫生服务中心B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内科学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社区卫生服务中心C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中医学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社区卫生服务中心D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临床检验诊断学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具有检验师资格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齐齐哈尔医学院附属第三医院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社区卫生服务中心E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技术岗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药学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具有药师资格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37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合计（单位：人）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齐齐哈尔医学院附属第四医院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精神卫生中心临床各科室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精神医学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具有执业医师资格、住院医师规范化培训合格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齐齐哈尔医学院附属第四医院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精神卫生中心开放病区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护理学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具有护士执业资格证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37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合计（单位：人）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齐齐哈尔医学院临床病理诊断中心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诊断室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医疗岗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病理学与病理生理学、临床医学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编制内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主治医师及以上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37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合计（单位：人）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tblCellSpacing w:w="0" w:type="dxa"/>
        </w:trPr>
        <w:tc>
          <w:tcPr>
            <w:tcW w:w="37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总计（单位：人）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52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/>
        <w:rPr>
          <w:rFonts w:hint="default" w:ascii="Calibri" w:hAnsi="Calibri" w:cs="Calibri"/>
          <w:b w:val="0"/>
          <w:i w:val="0"/>
          <w:color w:val="00000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引进待遇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tbl>
      <w:tblPr>
        <w:tblW w:w="860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4080"/>
        <w:gridCol w:w="840"/>
        <w:gridCol w:w="1668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人才层次</w:t>
            </w:r>
          </w:p>
        </w:tc>
        <w:tc>
          <w:tcPr>
            <w:tcW w:w="4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人才类型</w:t>
            </w: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</w:rPr>
              <w:t>相关待遇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CellSpacing w:w="0" w:type="dxa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</w:rPr>
              <w:t>安家费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</w:rPr>
              <w:t>岗位/学位津贴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</w:rPr>
              <w:t>科研启动基金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第一层次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略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略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第二层次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略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略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第三层次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略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略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第四层次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略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3.2-4.1万元/年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5-20万元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主持国家课题、项目金额≥40万元；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在2区期刊发表1篇以上或3区期刊发表3篇以上学术论文；SCI影响因子合计≥8或单篇影响因子≥4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25万元</w:t>
            </w:r>
          </w:p>
        </w:tc>
        <w:tc>
          <w:tcPr>
            <w:tcW w:w="16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主持国家课题、项目金额≥20万元；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在3区期刊发表1篇以上或4区期刊发表4篇以上学术论文；SCI影响因子合计≥5或单篇影响因子≥3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20万元</w:t>
            </w:r>
          </w:p>
        </w:tc>
        <w:tc>
          <w:tcPr>
            <w:tcW w:w="16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0" w:type="dxa"/>
        </w:trPr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第五层次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所学专业为医药类学科，在教师岗位承担专业及专业基础课或在科研、实验岗位工作的博士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15万元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2.1-4.1万元/年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5-20万元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0" w:type="dxa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承担公共课、选修课及非教学、科研、实验岗位的博士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10万元</w:t>
            </w:r>
          </w:p>
        </w:tc>
        <w:tc>
          <w:tcPr>
            <w:tcW w:w="16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E464F"/>
    <w:multiLevelType w:val="multilevel"/>
    <w:tmpl w:val="697E464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6C6A8896"/>
    <w:multiLevelType w:val="multilevel"/>
    <w:tmpl w:val="6C6A889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E44B4"/>
    <w:rsid w:val="375B3931"/>
    <w:rsid w:val="47C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2019-06-13T02:44:00Z</dcterms:created>
  <dc:creator>与爱飞翔</dc:creator>
  <cp:lastModifiedBy>与爱飞翔</cp:lastModifiedBy>
  <dcterms:modified xsi:type="dcterms:W3CDTF">2019-06-13T02:51:43Z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