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240" w:beforeAutospacing="0" w:after="24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二、招聘岗位及具体要求</w:t>
      </w:r>
    </w:p>
    <w:tbl>
      <w:tblPr>
        <w:tblW w:w="11213" w:type="dxa"/>
        <w:jc w:val="center"/>
        <w:tblInd w:w="-1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1"/>
        <w:gridCol w:w="1701"/>
        <w:gridCol w:w="2410"/>
        <w:gridCol w:w="850"/>
        <w:gridCol w:w="3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3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产品标准处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材料、工民建、建筑、设备、结构等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中级以上职称，相关工作经验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造价研究处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电气工程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中级以上职称，5年以上造价相关工作经验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经济参数处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工程管理或工程经济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有建设项目评价研究及工程项目建设标准研究工作经验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出版处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技术管理岗位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理工科、图书管理、法学、中文等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2年以上工作经验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240" w:beforeAutospacing="0" w:after="24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硕士研究生年龄不超过35周岁，博士研究生年龄不超过40周岁。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B0996"/>
    <w:rsid w:val="191B09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2018-11-19T03:39:00Z</dcterms:created>
  <dc:creator>愿风裁尘</dc:creator>
  <cp:lastModifiedBy>愿风裁尘</cp:lastModifiedBy>
  <dcterms:modified xsi:type="dcterms:W3CDTF">2018-11-19T03:39:16Z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