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40" w:beforeAutospacing="0" w:after="0" w:afterAutospacing="0" w:line="476" w:lineRule="atLeast"/>
        <w:ind w:left="0" w:right="0"/>
      </w:pPr>
      <w:r>
        <w:rPr>
          <w:rFonts w:hint="eastAsia" w:ascii="微软雅黑" w:hAnsi="微软雅黑" w:eastAsia="微软雅黑" w:cs="微软雅黑"/>
          <w:color w:val="000000"/>
          <w:sz w:val="25"/>
          <w:szCs w:val="25"/>
          <w:shd w:val="clear" w:fill="FFFFFF"/>
        </w:rPr>
        <w:t>中银金融资产投资有限公司</w:t>
      </w:r>
      <w:bookmarkStart w:id="0" w:name="_GoBack"/>
      <w:bookmarkEnd w:id="0"/>
      <w:r>
        <w:rPr>
          <w:rStyle w:val="6"/>
          <w:rFonts w:hint="eastAsia" w:ascii="Verdana" w:hAnsi="Verdana" w:cs="Verdana"/>
          <w:b/>
          <w:i w:val="0"/>
          <w:color w:val="535353"/>
          <w:sz w:val="15"/>
          <w:szCs w:val="15"/>
          <w:bdr w:val="none" w:color="auto" w:sz="0" w:space="0"/>
          <w:shd w:val="clear" w:fill="FFFFFF"/>
        </w:rPr>
        <w:t>招聘职位信息</w:t>
      </w:r>
    </w:p>
    <w:tbl>
      <w:tblPr>
        <w:tblW w:w="3538" w:type="dxa"/>
        <w:jc w:val="center"/>
        <w:tblCellSpacing w:w="0" w:type="dxa"/>
        <w:tblInd w:w="24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08"/>
        <w:gridCol w:w="856"/>
        <w:gridCol w:w="856"/>
        <w:gridCol w:w="709"/>
        <w:gridCol w:w="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投资部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投资岗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9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风险合规部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风险审查岗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6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股权估值岗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综合管理部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策略研究岗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审计部</w:t>
            </w:r>
          </w:p>
        </w:tc>
        <w:tc>
          <w:tcPr>
            <w:tcW w:w="856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审计岗</w:t>
            </w:r>
          </w:p>
        </w:tc>
        <w:tc>
          <w:tcPr>
            <w:tcW w:w="709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188C"/>
    <w:rsid w:val="56681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376" w:lineRule="atLeast"/>
      <w:jc w:val="left"/>
    </w:pPr>
    <w:rPr>
      <w:rFonts w:ascii="微软雅黑" w:hAnsi="微软雅黑" w:eastAsia="微软雅黑" w:cs="微软雅黑"/>
      <w:b/>
      <w:color w:val="000000"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3535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535353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hover"/>
    <w:basedOn w:val="5"/>
    <w:uiPriority w:val="0"/>
    <w:rPr>
      <w:color w:val="FF6633"/>
    </w:rPr>
  </w:style>
  <w:style w:type="character" w:customStyle="1" w:styleId="15">
    <w:name w:val="active"/>
    <w:basedOn w:val="5"/>
    <w:uiPriority w:val="0"/>
  </w:style>
  <w:style w:type="character" w:customStyle="1" w:styleId="16">
    <w:name w:val="hover8"/>
    <w:basedOn w:val="5"/>
    <w:uiPriority w:val="0"/>
    <w:rPr>
      <w:color w:val="FF66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2019-06-25T01:40:00Z</dcterms:created>
  <dc:creator>ASUS</dc:creator>
  <cp:lastModifiedBy>ASUS</cp:lastModifiedBy>
  <dcterms:modified xsi:type="dcterms:W3CDTF">2019-06-25T01:40:32Z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